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AA0772">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DD0BE1">
        <w:rPr>
          <w:rFonts w:ascii="Times New Roman" w:hAnsi="Times New Roman" w:cs="Times New Roman"/>
          <w:sz w:val="24"/>
          <w:szCs w:val="24"/>
        </w:rPr>
        <w:t>137/3</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7F2E31">
        <w:rPr>
          <w:rFonts w:ascii="Times New Roman" w:hAnsi="Times New Roman" w:cs="Times New Roman"/>
          <w:sz w:val="24"/>
          <w:szCs w:val="24"/>
        </w:rPr>
        <w:t>0</w:t>
      </w:r>
      <w:r w:rsidR="003B5304">
        <w:rPr>
          <w:rFonts w:ascii="Times New Roman" w:hAnsi="Times New Roman" w:cs="Times New Roman"/>
          <w:sz w:val="24"/>
          <w:szCs w:val="24"/>
        </w:rPr>
        <w:t>6</w:t>
      </w:r>
      <w:r w:rsidR="005F6E4E">
        <w:rPr>
          <w:rFonts w:ascii="Times New Roman" w:hAnsi="Times New Roman" w:cs="Times New Roman"/>
          <w:sz w:val="24"/>
          <w:szCs w:val="24"/>
        </w:rPr>
        <w:t>.04.2021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E546D3" w:rsidRDefault="00E546D3" w:rsidP="00E546D3">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E546D3" w:rsidRDefault="00E546D3" w:rsidP="00E546D3">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приквартирных</w:t>
      </w:r>
      <w:proofErr w:type="spellEnd"/>
      <w:r>
        <w:rPr>
          <w:rFonts w:ascii="Times New Roman" w:hAnsi="Times New Roman" w:cs="Times New Roman"/>
          <w:sz w:val="24"/>
          <w:szCs w:val="24"/>
        </w:rPr>
        <w:t xml:space="preserve"> площадок и лестничных клеток, входных металлических и тамбурных дверей на 1 этаже, площадок перед загрузочными клапанами мусоропроводов – 1 раз в неделю.</w:t>
      </w:r>
    </w:p>
    <w:p w:rsidR="00E546D3" w:rsidRDefault="00E546D3" w:rsidP="00E546D3">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E546D3" w:rsidRDefault="00E546D3" w:rsidP="00E546D3">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 – 1 раз в месяц.</w:t>
      </w:r>
    </w:p>
    <w:p w:rsidR="00E546D3" w:rsidRDefault="00E546D3" w:rsidP="00E546D3">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E546D3" w:rsidRDefault="00E546D3" w:rsidP="00E546D3">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BE401F" w:rsidRDefault="00BE401F"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BE401F">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BE401F">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BE401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E546D3">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bookmarkStart w:id="0" w:name="_GoBack"/>
      <w:bookmarkEnd w:id="0"/>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C70BB6" w:rsidRDefault="00C70BB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C70BB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C70BB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C70BB6"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9E2C40" w:rsidRPr="00E42E70" w:rsidTr="0031110E">
        <w:tc>
          <w:tcPr>
            <w:tcW w:w="833" w:type="dxa"/>
            <w:vAlign w:val="center"/>
          </w:tcPr>
          <w:p w:rsidR="009E2C40" w:rsidRPr="00C70BB6" w:rsidRDefault="00C70BB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A2389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DD0BE1">
              <w:rPr>
                <w:rFonts w:ascii="Times New Roman" w:hAnsi="Times New Roman" w:cs="Times New Roman"/>
                <w:sz w:val="24"/>
                <w:szCs w:val="24"/>
              </w:rPr>
              <w:t>,8</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304"/>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23896"/>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E401F"/>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70BB6"/>
    <w:rsid w:val="00C86F0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0BE1"/>
    <w:rsid w:val="00DD4A8C"/>
    <w:rsid w:val="00DD57D5"/>
    <w:rsid w:val="00DE1436"/>
    <w:rsid w:val="00DE2326"/>
    <w:rsid w:val="00DF75C4"/>
    <w:rsid w:val="00E06074"/>
    <w:rsid w:val="00E2776D"/>
    <w:rsid w:val="00E42E70"/>
    <w:rsid w:val="00E43EE0"/>
    <w:rsid w:val="00E4514C"/>
    <w:rsid w:val="00E546D3"/>
    <w:rsid w:val="00E56E6E"/>
    <w:rsid w:val="00E60498"/>
    <w:rsid w:val="00E629D1"/>
    <w:rsid w:val="00E66941"/>
    <w:rsid w:val="00E728A4"/>
    <w:rsid w:val="00E72D70"/>
    <w:rsid w:val="00E7574D"/>
    <w:rsid w:val="00E82471"/>
    <w:rsid w:val="00E83A9A"/>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2247-F29D-4115-AAA9-35B53A56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1</Pages>
  <Words>7888</Words>
  <Characters>44967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382</cp:revision>
  <cp:lastPrinted>2018-12-06T00:56:00Z</cp:lastPrinted>
  <dcterms:created xsi:type="dcterms:W3CDTF">2015-08-07T05:16:00Z</dcterms:created>
  <dcterms:modified xsi:type="dcterms:W3CDTF">2021-04-06T04:07:00Z</dcterms:modified>
</cp:coreProperties>
</file>